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6C19" w14:textId="77777777" w:rsidR="009F55CE" w:rsidRDefault="00000000">
      <w:pPr>
        <w:pStyle w:val="StandardA"/>
        <w:jc w:val="center"/>
        <w:rPr>
          <w:b/>
          <w:bCs/>
          <w:u w:val="single"/>
        </w:rPr>
      </w:pPr>
      <w:r>
        <w:rPr>
          <w:b/>
          <w:bCs/>
          <w:u w:val="single"/>
        </w:rPr>
        <w:t>SUBSTITUTE TRUSTEE'S NOTICE OF SALE</w:t>
      </w:r>
    </w:p>
    <w:p w14:paraId="2769C1AB" w14:textId="77777777" w:rsidR="009F55CE" w:rsidRDefault="009F55CE">
      <w:pPr>
        <w:pStyle w:val="StandardA"/>
        <w:spacing w:before="58"/>
        <w:jc w:val="center"/>
      </w:pPr>
    </w:p>
    <w:p w14:paraId="1F3774A5" w14:textId="44C233CE" w:rsidR="009F55CE" w:rsidRDefault="00000000">
      <w:pPr>
        <w:pStyle w:val="StandardA"/>
        <w:jc w:val="both"/>
        <w:rPr>
          <w:sz w:val="20"/>
          <w:szCs w:val="20"/>
        </w:rPr>
      </w:pPr>
      <w:r>
        <w:rPr>
          <w:sz w:val="20"/>
          <w:szCs w:val="20"/>
        </w:rPr>
        <w:t xml:space="preserve">Sale at public auction will be on December 30, 2025, at or about </w:t>
      </w:r>
      <w:r w:rsidR="00A75866">
        <w:rPr>
          <w:sz w:val="20"/>
          <w:szCs w:val="20"/>
        </w:rPr>
        <w:t>2</w:t>
      </w:r>
      <w:r>
        <w:rPr>
          <w:sz w:val="20"/>
          <w:szCs w:val="20"/>
        </w:rPr>
        <w:t xml:space="preserve">:00 </w:t>
      </w:r>
      <w:r w:rsidR="00A75866">
        <w:rPr>
          <w:sz w:val="20"/>
          <w:szCs w:val="20"/>
        </w:rPr>
        <w:t>P</w:t>
      </w:r>
      <w:r>
        <w:rPr>
          <w:sz w:val="20"/>
          <w:szCs w:val="20"/>
        </w:rPr>
        <w:t xml:space="preserve">M, local time, at the front door of the Monroe County Courthouse, 105 College Street, Madisonville, TN 37354, pursuant to the Deed of Trust executed by Taylor J. Watson and Hether Leigh Watson, </w:t>
      </w:r>
      <w:r w:rsidR="00AF0EAA">
        <w:rPr>
          <w:sz w:val="20"/>
          <w:szCs w:val="20"/>
        </w:rPr>
        <w:t xml:space="preserve">husband and wife, </w:t>
      </w:r>
      <w:r>
        <w:rPr>
          <w:sz w:val="20"/>
          <w:szCs w:val="20"/>
        </w:rPr>
        <w:t>to Marisa Ravert, as Trustee for Triad Financial Services, Inc. dated March 26, 2020, and recorded in Book C</w:t>
      </w:r>
      <w:r w:rsidR="00AF0EAA">
        <w:rPr>
          <w:sz w:val="20"/>
          <w:szCs w:val="20"/>
        </w:rPr>
        <w:t>-</w:t>
      </w:r>
      <w:r>
        <w:rPr>
          <w:sz w:val="20"/>
          <w:szCs w:val="20"/>
        </w:rPr>
        <w:t xml:space="preserve">37, Page 105, </w:t>
      </w:r>
      <w:r w:rsidR="00AF0EAA">
        <w:rPr>
          <w:sz w:val="20"/>
          <w:szCs w:val="20"/>
        </w:rPr>
        <w:t xml:space="preserve">Instrument No. 20002822, </w:t>
      </w:r>
      <w:r>
        <w:rPr>
          <w:sz w:val="20"/>
          <w:szCs w:val="20"/>
        </w:rPr>
        <w:t>in the Register's Office for Monroe County, Tennessee (“Deed of Trust”), conducted by Padgett Law Group, having been appointed Substitute Trustee, all of record in the Monroe County Register's Office. Default in the performance of the covenants, terms, and conditions of said Deed of Trust has been made; and the entire indebtedness has been declared due and payable.</w:t>
      </w:r>
    </w:p>
    <w:p w14:paraId="2D82A846" w14:textId="77777777" w:rsidR="009F55CE" w:rsidRDefault="009F55CE">
      <w:pPr>
        <w:pStyle w:val="StandardA"/>
        <w:jc w:val="both"/>
        <w:rPr>
          <w:sz w:val="20"/>
          <w:szCs w:val="20"/>
        </w:rPr>
      </w:pPr>
    </w:p>
    <w:p w14:paraId="087E401A" w14:textId="77777777" w:rsidR="009F55CE" w:rsidRDefault="00000000">
      <w:pPr>
        <w:pStyle w:val="StandardA"/>
        <w:spacing w:after="144"/>
        <w:jc w:val="both"/>
        <w:rPr>
          <w:sz w:val="20"/>
          <w:szCs w:val="20"/>
        </w:rPr>
      </w:pPr>
      <w:r>
        <w:rPr>
          <w:sz w:val="20"/>
          <w:szCs w:val="20"/>
        </w:rPr>
        <w:t>Party entitled to enforce the debt: MEMBERS COOPERATIVE CU</w:t>
      </w:r>
    </w:p>
    <w:p w14:paraId="6E6DE189" w14:textId="77777777" w:rsidR="009F55CE" w:rsidRDefault="00000000">
      <w:pPr>
        <w:pStyle w:val="StandardA"/>
        <w:spacing w:after="144"/>
        <w:jc w:val="both"/>
        <w:rPr>
          <w:sz w:val="20"/>
          <w:szCs w:val="20"/>
        </w:rPr>
      </w:pPr>
      <w:r>
        <w:rPr>
          <w:color w:val="000000"/>
          <w:sz w:val="20"/>
          <w:szCs w:val="20"/>
        </w:rPr>
        <w:t>Other interested parties</w:t>
      </w:r>
      <w:proofErr w:type="gramStart"/>
      <w:r>
        <w:rPr>
          <w:color w:val="000000"/>
          <w:sz w:val="20"/>
          <w:szCs w:val="20"/>
        </w:rPr>
        <w:t>:  ORNL</w:t>
      </w:r>
      <w:proofErr w:type="gramEnd"/>
      <w:r>
        <w:rPr>
          <w:color w:val="000000"/>
          <w:sz w:val="20"/>
          <w:szCs w:val="20"/>
        </w:rPr>
        <w:t xml:space="preserve"> Federal Credit Union</w:t>
      </w:r>
    </w:p>
    <w:p w14:paraId="0872388A" w14:textId="77777777" w:rsidR="009F55CE" w:rsidRDefault="00000000">
      <w:pPr>
        <w:pStyle w:val="StandardA"/>
        <w:spacing w:after="144"/>
        <w:jc w:val="both"/>
        <w:rPr>
          <w:sz w:val="20"/>
          <w:szCs w:val="20"/>
        </w:rPr>
      </w:pPr>
      <w:r>
        <w:rPr>
          <w:sz w:val="20"/>
          <w:szCs w:val="20"/>
        </w:rPr>
        <w:t xml:space="preserve">The hereinafter described real property located in Monroe County will be sold to the highest call bidder subject to all unpaid taxes, prior </w:t>
      </w:r>
      <w:proofErr w:type="gramStart"/>
      <w:r>
        <w:rPr>
          <w:sz w:val="20"/>
          <w:szCs w:val="20"/>
        </w:rPr>
        <w:t>liens</w:t>
      </w:r>
      <w:proofErr w:type="gramEnd"/>
      <w:r>
        <w:rPr>
          <w:sz w:val="20"/>
          <w:szCs w:val="20"/>
        </w:rPr>
        <w:t xml:space="preserve"> and encumbrances of record:</w:t>
      </w:r>
    </w:p>
    <w:p w14:paraId="39423451" w14:textId="77777777" w:rsidR="00AF0EAA" w:rsidRDefault="00000000">
      <w:pPr>
        <w:pStyle w:val="StandardA"/>
        <w:spacing w:after="144"/>
        <w:jc w:val="both"/>
        <w:rPr>
          <w:sz w:val="20"/>
          <w:szCs w:val="20"/>
        </w:rPr>
      </w:pPr>
      <w:r>
        <w:rPr>
          <w:sz w:val="20"/>
          <w:szCs w:val="20"/>
        </w:rPr>
        <w:t>Legal Description:</w:t>
      </w:r>
      <w:r w:rsidR="00AF0EAA">
        <w:rPr>
          <w:sz w:val="20"/>
          <w:szCs w:val="20"/>
        </w:rPr>
        <w:t xml:space="preserve"> The following described real estate, to wit:</w:t>
      </w:r>
    </w:p>
    <w:p w14:paraId="4BBE4C5D" w14:textId="77777777" w:rsidR="00AF0EAA" w:rsidRDefault="00000000">
      <w:pPr>
        <w:pStyle w:val="StandardA"/>
        <w:spacing w:after="144"/>
        <w:jc w:val="both"/>
        <w:rPr>
          <w:sz w:val="20"/>
          <w:szCs w:val="20"/>
        </w:rPr>
      </w:pPr>
      <w:r>
        <w:rPr>
          <w:sz w:val="20"/>
          <w:szCs w:val="20"/>
        </w:rPr>
        <w:t xml:space="preserve"> LYING AND BEING situated in the Third Civil District of Monroe County, Tennessee, and being more particularly described as follows, to-wit: </w:t>
      </w:r>
    </w:p>
    <w:p w14:paraId="2599BF66" w14:textId="60866EBE" w:rsidR="009F55CE" w:rsidRDefault="00000000">
      <w:pPr>
        <w:pStyle w:val="StandardA"/>
        <w:spacing w:after="144"/>
        <w:jc w:val="both"/>
        <w:rPr>
          <w:sz w:val="20"/>
          <w:szCs w:val="20"/>
        </w:rPr>
      </w:pPr>
      <w:r>
        <w:rPr>
          <w:sz w:val="20"/>
          <w:szCs w:val="20"/>
        </w:rPr>
        <w:t xml:space="preserve">BEGINNING at the </w:t>
      </w:r>
      <w:r w:rsidR="00AF0EAA">
        <w:rPr>
          <w:sz w:val="20"/>
          <w:szCs w:val="20"/>
        </w:rPr>
        <w:t>Southwestern most</w:t>
      </w:r>
      <w:r>
        <w:rPr>
          <w:sz w:val="20"/>
          <w:szCs w:val="20"/>
        </w:rPr>
        <w:t xml:space="preserve"> corner of the tract herein conveyed at an iron pin corner with Cansler (formerly Spain) and property formerly belonging to Opal Watson; thence with Cansler, North 06</w:t>
      </w:r>
      <w:r w:rsidR="00AF0EAA">
        <w:rPr>
          <w:sz w:val="20"/>
          <w:szCs w:val="20"/>
        </w:rPr>
        <w:t xml:space="preserve"> deg.</w:t>
      </w:r>
      <w:r>
        <w:rPr>
          <w:sz w:val="20"/>
          <w:szCs w:val="20"/>
        </w:rPr>
        <w:t xml:space="preserve"> 31</w:t>
      </w:r>
      <w:r w:rsidR="00AF0EAA">
        <w:rPr>
          <w:sz w:val="20"/>
          <w:szCs w:val="20"/>
        </w:rPr>
        <w:t xml:space="preserve"> min.</w:t>
      </w:r>
      <w:r>
        <w:rPr>
          <w:sz w:val="20"/>
          <w:szCs w:val="20"/>
        </w:rPr>
        <w:t xml:space="preserve"> West 252.8 feet to an iron pin corner with Queen; thence with Queen, North 83</w:t>
      </w:r>
      <w:r w:rsidR="00AF0EAA">
        <w:rPr>
          <w:sz w:val="20"/>
          <w:szCs w:val="20"/>
        </w:rPr>
        <w:t xml:space="preserve"> deg.</w:t>
      </w:r>
      <w:r>
        <w:rPr>
          <w:sz w:val="20"/>
          <w:szCs w:val="20"/>
        </w:rPr>
        <w:t xml:space="preserve"> 29</w:t>
      </w:r>
      <w:r w:rsidR="00AF0EAA">
        <w:rPr>
          <w:sz w:val="20"/>
          <w:szCs w:val="20"/>
        </w:rPr>
        <w:t xml:space="preserve"> min.</w:t>
      </w:r>
      <w:r>
        <w:rPr>
          <w:sz w:val="20"/>
          <w:szCs w:val="20"/>
        </w:rPr>
        <w:t xml:space="preserve"> East 307.5 feet to an iron pin corner with Moser; thence with Moser, South 09</w:t>
      </w:r>
      <w:r w:rsidR="00AF0EAA">
        <w:rPr>
          <w:sz w:val="20"/>
          <w:szCs w:val="20"/>
        </w:rPr>
        <w:t xml:space="preserve"> deg.</w:t>
      </w:r>
      <w:r>
        <w:rPr>
          <w:sz w:val="20"/>
          <w:szCs w:val="20"/>
        </w:rPr>
        <w:t xml:space="preserve"> 52</w:t>
      </w:r>
      <w:r w:rsidR="00AF0EAA">
        <w:rPr>
          <w:sz w:val="20"/>
          <w:szCs w:val="20"/>
        </w:rPr>
        <w:t xml:space="preserve"> min.</w:t>
      </w:r>
      <w:r>
        <w:rPr>
          <w:sz w:val="20"/>
          <w:szCs w:val="20"/>
        </w:rPr>
        <w:t xml:space="preserve"> East 216.5 feet to an iron pin; thence continuing with Moser, South 20</w:t>
      </w:r>
      <w:r w:rsidR="00AF0EAA">
        <w:rPr>
          <w:sz w:val="20"/>
          <w:szCs w:val="20"/>
        </w:rPr>
        <w:t xml:space="preserve"> deg.</w:t>
      </w:r>
      <w:r>
        <w:rPr>
          <w:sz w:val="20"/>
          <w:szCs w:val="20"/>
        </w:rPr>
        <w:t xml:space="preserve"> 37</w:t>
      </w:r>
      <w:r w:rsidR="00AF0EAA">
        <w:rPr>
          <w:sz w:val="20"/>
          <w:szCs w:val="20"/>
        </w:rPr>
        <w:t xml:space="preserve"> min.</w:t>
      </w:r>
      <w:r>
        <w:rPr>
          <w:sz w:val="20"/>
          <w:szCs w:val="20"/>
        </w:rPr>
        <w:t xml:space="preserve"> East 37.8 feet to an iron pin corner with property now or formerly belonging to Opal Watson; thence with said tract, South 83</w:t>
      </w:r>
      <w:r w:rsidR="00AF0EAA">
        <w:rPr>
          <w:sz w:val="20"/>
          <w:szCs w:val="20"/>
        </w:rPr>
        <w:t xml:space="preserve"> deg.</w:t>
      </w:r>
      <w:r>
        <w:rPr>
          <w:sz w:val="20"/>
          <w:szCs w:val="20"/>
        </w:rPr>
        <w:t xml:space="preserve"> 29</w:t>
      </w:r>
      <w:r w:rsidR="00AF0EAA">
        <w:rPr>
          <w:sz w:val="20"/>
          <w:szCs w:val="20"/>
        </w:rPr>
        <w:t xml:space="preserve"> min.</w:t>
      </w:r>
      <w:r>
        <w:rPr>
          <w:sz w:val="20"/>
          <w:szCs w:val="20"/>
        </w:rPr>
        <w:t xml:space="preserve"> West 329.3 feet to the point of BEGINNING, according to the survey of Paul Lingerfelt Surveying, RLS #771, 109 County Road 325, Sweetwater, TN 37874, dated 6/9/93 and being drawing #93091 to which reference is here made.</w:t>
      </w:r>
    </w:p>
    <w:p w14:paraId="29FF75EF" w14:textId="623FAAE3" w:rsidR="009F55CE" w:rsidRDefault="00000000">
      <w:pPr>
        <w:pStyle w:val="StandardA"/>
        <w:spacing w:after="144"/>
        <w:jc w:val="both"/>
        <w:rPr>
          <w:sz w:val="20"/>
          <w:szCs w:val="20"/>
        </w:rPr>
      </w:pPr>
      <w:r>
        <w:rPr>
          <w:sz w:val="20"/>
          <w:szCs w:val="20"/>
        </w:rPr>
        <w:t xml:space="preserve">EXCEPTED from this conveyance is a 20-foot right-of-way which runs along the </w:t>
      </w:r>
      <w:r w:rsidR="00467F7D">
        <w:rPr>
          <w:sz w:val="20"/>
          <w:szCs w:val="20"/>
        </w:rPr>
        <w:t>W</w:t>
      </w:r>
      <w:r>
        <w:rPr>
          <w:sz w:val="20"/>
          <w:szCs w:val="20"/>
        </w:rPr>
        <w:t xml:space="preserve">estern boundary of the </w:t>
      </w:r>
      <w:proofErr w:type="gramStart"/>
      <w:r>
        <w:rPr>
          <w:sz w:val="20"/>
          <w:szCs w:val="20"/>
        </w:rPr>
        <w:t>above</w:t>
      </w:r>
      <w:r w:rsidR="00467F7D">
        <w:rPr>
          <w:sz w:val="20"/>
          <w:szCs w:val="20"/>
        </w:rPr>
        <w:t xml:space="preserve"> </w:t>
      </w:r>
      <w:r>
        <w:rPr>
          <w:sz w:val="20"/>
          <w:szCs w:val="20"/>
        </w:rPr>
        <w:t>described</w:t>
      </w:r>
      <w:proofErr w:type="gramEnd"/>
      <w:r>
        <w:rPr>
          <w:sz w:val="20"/>
          <w:szCs w:val="20"/>
        </w:rPr>
        <w:t xml:space="preserve"> tract, which right-of-way is for the purpose of ingress and egress to property retained by Opal Watson as well as property heretofore conveyed to Roger Watson.</w:t>
      </w:r>
    </w:p>
    <w:p w14:paraId="7B034BBF" w14:textId="6D4382F8" w:rsidR="009F55CE" w:rsidRDefault="00000000">
      <w:pPr>
        <w:pStyle w:val="StandardA"/>
        <w:spacing w:after="144"/>
        <w:jc w:val="both"/>
        <w:rPr>
          <w:sz w:val="20"/>
          <w:szCs w:val="20"/>
        </w:rPr>
      </w:pPr>
      <w:r>
        <w:rPr>
          <w:sz w:val="20"/>
          <w:szCs w:val="20"/>
        </w:rPr>
        <w:t xml:space="preserve">ALSO CONVEYED herewith is a 20-foot right-of-way leading from the </w:t>
      </w:r>
      <w:r w:rsidR="00467F7D">
        <w:rPr>
          <w:sz w:val="20"/>
          <w:szCs w:val="20"/>
        </w:rPr>
        <w:t>S</w:t>
      </w:r>
      <w:r>
        <w:rPr>
          <w:sz w:val="20"/>
          <w:szCs w:val="20"/>
        </w:rPr>
        <w:t>outhwestern corner of the tract herein conveyed across property retained by Opal Watson to Toomey Lane, which right-of-way is adjacent to and parallel with two boundary lines between property retained by Opal Watson and Cansler (formerly Spain), the boundary lines being described as follows: South 06</w:t>
      </w:r>
      <w:r w:rsidR="00AF0EAA">
        <w:rPr>
          <w:sz w:val="20"/>
          <w:szCs w:val="20"/>
        </w:rPr>
        <w:t xml:space="preserve"> deg.</w:t>
      </w:r>
      <w:r>
        <w:rPr>
          <w:sz w:val="20"/>
          <w:szCs w:val="20"/>
        </w:rPr>
        <w:t xml:space="preserve"> 31</w:t>
      </w:r>
      <w:r w:rsidR="00AF0EAA">
        <w:rPr>
          <w:sz w:val="20"/>
          <w:szCs w:val="20"/>
        </w:rPr>
        <w:t xml:space="preserve"> min.</w:t>
      </w:r>
      <w:r>
        <w:rPr>
          <w:sz w:val="20"/>
          <w:szCs w:val="20"/>
        </w:rPr>
        <w:t xml:space="preserve"> East 553.7 feet to a point; and North 82</w:t>
      </w:r>
      <w:r w:rsidR="00AF0EAA">
        <w:rPr>
          <w:sz w:val="20"/>
          <w:szCs w:val="20"/>
        </w:rPr>
        <w:t xml:space="preserve"> deg.</w:t>
      </w:r>
      <w:r>
        <w:rPr>
          <w:sz w:val="20"/>
          <w:szCs w:val="20"/>
        </w:rPr>
        <w:t xml:space="preserve"> 20</w:t>
      </w:r>
      <w:r w:rsidR="00AF0EAA">
        <w:rPr>
          <w:sz w:val="20"/>
          <w:szCs w:val="20"/>
        </w:rPr>
        <w:t xml:space="preserve"> min.</w:t>
      </w:r>
      <w:r>
        <w:rPr>
          <w:sz w:val="20"/>
          <w:szCs w:val="20"/>
        </w:rPr>
        <w:t xml:space="preserve"> East 103.9 feet to Toomey Lane, which right-of-way is for ingress and egress and installation and maintenance of utility service.</w:t>
      </w:r>
    </w:p>
    <w:p w14:paraId="62309B1B" w14:textId="73E45AA2" w:rsidR="00AF0EAA" w:rsidRDefault="00AF0EAA">
      <w:pPr>
        <w:pStyle w:val="StandardA"/>
        <w:spacing w:after="144"/>
        <w:jc w:val="both"/>
        <w:rPr>
          <w:sz w:val="20"/>
          <w:szCs w:val="20"/>
        </w:rPr>
      </w:pPr>
      <w:r>
        <w:rPr>
          <w:sz w:val="20"/>
          <w:szCs w:val="20"/>
        </w:rPr>
        <w:t>Parcel ID No.: 056 01006 000056</w:t>
      </w:r>
    </w:p>
    <w:p w14:paraId="487DE781" w14:textId="2D595762" w:rsidR="009F55CE" w:rsidRDefault="00000000">
      <w:pPr>
        <w:pStyle w:val="StandardA"/>
        <w:spacing w:after="144"/>
        <w:jc w:val="both"/>
        <w:rPr>
          <w:sz w:val="20"/>
          <w:szCs w:val="20"/>
        </w:rPr>
      </w:pPr>
      <w:r>
        <w:rPr>
          <w:sz w:val="20"/>
          <w:szCs w:val="20"/>
        </w:rPr>
        <w:t xml:space="preserve">Title to the above-described property conveyed to Taylor Watson and Hether Watson, husband and wife, from Lachelle Watson Cardin by Warranty Deed dated November 11, </w:t>
      </w:r>
      <w:proofErr w:type="gramStart"/>
      <w:r>
        <w:rPr>
          <w:sz w:val="20"/>
          <w:szCs w:val="20"/>
        </w:rPr>
        <w:t>2019</w:t>
      </w:r>
      <w:proofErr w:type="gramEnd"/>
      <w:r>
        <w:rPr>
          <w:sz w:val="20"/>
          <w:szCs w:val="20"/>
        </w:rPr>
        <w:t xml:space="preserve"> and recorded November 14, </w:t>
      </w:r>
      <w:proofErr w:type="gramStart"/>
      <w:r>
        <w:rPr>
          <w:sz w:val="20"/>
          <w:szCs w:val="20"/>
        </w:rPr>
        <w:t>2019</w:t>
      </w:r>
      <w:proofErr w:type="gramEnd"/>
      <w:r>
        <w:rPr>
          <w:sz w:val="20"/>
          <w:szCs w:val="20"/>
        </w:rPr>
        <w:t xml:space="preserve"> in Book 408, Page 396</w:t>
      </w:r>
      <w:r w:rsidR="000B117C">
        <w:rPr>
          <w:sz w:val="20"/>
          <w:szCs w:val="20"/>
        </w:rPr>
        <w:t xml:space="preserve"> or Instrument No. 19007017.</w:t>
      </w:r>
    </w:p>
    <w:p w14:paraId="7F9085DD" w14:textId="60476FD1" w:rsidR="000B117C" w:rsidRDefault="000B117C">
      <w:pPr>
        <w:pStyle w:val="StandardA"/>
        <w:spacing w:after="144"/>
        <w:jc w:val="both"/>
        <w:rPr>
          <w:sz w:val="20"/>
          <w:szCs w:val="20"/>
        </w:rPr>
      </w:pPr>
      <w:r>
        <w:rPr>
          <w:sz w:val="20"/>
          <w:szCs w:val="20"/>
        </w:rPr>
        <w:t>Legal Address: 366 Toomey Lane, Madisonville, TN 37354</w:t>
      </w:r>
    </w:p>
    <w:p w14:paraId="4C81C8A7" w14:textId="39E24647" w:rsidR="00467F7D" w:rsidRDefault="00467F7D">
      <w:pPr>
        <w:pStyle w:val="StandardA"/>
        <w:spacing w:after="144"/>
        <w:jc w:val="both"/>
        <w:rPr>
          <w:sz w:val="20"/>
          <w:szCs w:val="20"/>
        </w:rPr>
      </w:pPr>
      <w:r>
        <w:rPr>
          <w:sz w:val="20"/>
          <w:szCs w:val="20"/>
        </w:rPr>
        <w:t xml:space="preserve">Included to-wit is a </w:t>
      </w:r>
      <w:r w:rsidRPr="00467F7D">
        <w:rPr>
          <w:sz w:val="20"/>
          <w:szCs w:val="20"/>
        </w:rPr>
        <w:t xml:space="preserve">2019 CMH MFG, Inc Liberty 68x28 </w:t>
      </w:r>
      <w:r>
        <w:rPr>
          <w:sz w:val="20"/>
          <w:szCs w:val="20"/>
        </w:rPr>
        <w:t>Manufactured Home</w:t>
      </w:r>
      <w:r w:rsidRPr="00467F7D">
        <w:rPr>
          <w:sz w:val="20"/>
          <w:szCs w:val="20"/>
        </w:rPr>
        <w:t xml:space="preserve"> with </w:t>
      </w:r>
      <w:r>
        <w:rPr>
          <w:sz w:val="20"/>
          <w:szCs w:val="20"/>
        </w:rPr>
        <w:t>S</w:t>
      </w:r>
      <w:r w:rsidRPr="00467F7D">
        <w:rPr>
          <w:sz w:val="20"/>
          <w:szCs w:val="20"/>
        </w:rPr>
        <w:t>erial #SGI018829TNAB</w:t>
      </w:r>
      <w:r>
        <w:rPr>
          <w:sz w:val="20"/>
          <w:szCs w:val="20"/>
        </w:rPr>
        <w:t>.</w:t>
      </w:r>
    </w:p>
    <w:p w14:paraId="7667C529" w14:textId="77777777" w:rsidR="009F55CE" w:rsidRDefault="00000000">
      <w:pPr>
        <w:pStyle w:val="StandardA"/>
        <w:spacing w:after="144"/>
        <w:jc w:val="both"/>
        <w:rPr>
          <w:sz w:val="20"/>
          <w:szCs w:val="20"/>
        </w:rPr>
      </w:pPr>
      <w:r>
        <w:rPr>
          <w:sz w:val="20"/>
          <w:szCs w:val="20"/>
        </w:rPr>
        <w:t xml:space="preserve">Street Address: The street address of the property is believed to be 366 West Toomey Lane, Madisonville, TN 37354, but such address is not part of the legal description of the property. In the event of any discrepancy, the legal description herein shall control. </w:t>
      </w:r>
    </w:p>
    <w:p w14:paraId="0603A877" w14:textId="77777777" w:rsidR="009F55CE" w:rsidRDefault="00000000">
      <w:pPr>
        <w:pStyle w:val="StandardA"/>
        <w:spacing w:after="144"/>
        <w:jc w:val="both"/>
      </w:pPr>
      <w:r>
        <w:rPr>
          <w:sz w:val="20"/>
          <w:szCs w:val="20"/>
        </w:rPr>
        <w:t>Map/Parcel Number: 056-010.06</w:t>
      </w:r>
    </w:p>
    <w:p w14:paraId="3FC99346" w14:textId="2F997FF7" w:rsidR="009F55CE" w:rsidRDefault="00000000">
      <w:pPr>
        <w:pStyle w:val="StandardA"/>
        <w:spacing w:after="144"/>
        <w:rPr>
          <w:sz w:val="20"/>
          <w:szCs w:val="20"/>
        </w:rPr>
      </w:pPr>
      <w:r>
        <w:rPr>
          <w:sz w:val="20"/>
          <w:szCs w:val="20"/>
        </w:rPr>
        <w:t>Current owner(s) of Record: Taylor Watson and Hether Watson</w:t>
      </w:r>
    </w:p>
    <w:p w14:paraId="3323B714" w14:textId="77777777" w:rsidR="009F55CE" w:rsidRDefault="00000000">
      <w:pPr>
        <w:pStyle w:val="StandardA"/>
        <w:spacing w:after="144"/>
        <w:rPr>
          <w:sz w:val="20"/>
          <w:szCs w:val="20"/>
        </w:rPr>
      </w:pPr>
      <w:r>
        <w:rPr>
          <w:sz w:val="20"/>
          <w:szCs w:val="20"/>
        </w:rPr>
        <w:t xml:space="preserve">This sale is subject to all matters shown on any applicable recorded Plat or Plan; any unpaid taxes and assessments; any restrictive covenants, easements or setback lines that may be applicable; rights of redemption, equity, statutory or otherwise, not otherwise waived in the Deed of Trust, including rights of redemption of any government agency, state or federal; and </w:t>
      </w:r>
      <w:r>
        <w:rPr>
          <w:sz w:val="20"/>
          <w:szCs w:val="20"/>
        </w:rPr>
        <w:lastRenderedPageBreak/>
        <w:t>any and all prior deeds of trust, liens, dues, assessments, encumbrances, defects, adverse claims and other matters that may take priority over the Deed of Trust upon which this foreclosure sale is conducted or are not extinguished by this Foreclosure Sale.</w:t>
      </w:r>
    </w:p>
    <w:p w14:paraId="7C333B26" w14:textId="77777777" w:rsidR="009F55CE" w:rsidRDefault="00000000">
      <w:pPr>
        <w:pStyle w:val="StandardA"/>
        <w:spacing w:after="144"/>
        <w:jc w:val="both"/>
        <w:rPr>
          <w:sz w:val="20"/>
          <w:szCs w:val="20"/>
        </w:rPr>
      </w:pPr>
      <w:r>
        <w:rPr>
          <w:sz w:val="20"/>
          <w:szCs w:val="20"/>
        </w:rPr>
        <w:t>THE PROPERTY IS SOLD WITHOUT ANY REPRESENTATIONS OR WARRANTIES, EXPRESSED OR IMPLIED, RELATING TO TITLE, MARKETABILITY OF TITLE, POSSESSION, QUIET ENJOYMENT OR THE LIKE AND FITNESS FOR A GENERAL OR PARTICULAR USE OR PURPOSE. The title is believed to be good, but the undersigned will sell and convey only as Substitute Trustee.</w:t>
      </w:r>
    </w:p>
    <w:p w14:paraId="54712C8C" w14:textId="77777777" w:rsidR="009F55CE" w:rsidRDefault="00000000">
      <w:pPr>
        <w:pStyle w:val="StandardA"/>
        <w:spacing w:after="144"/>
        <w:jc w:val="both"/>
        <w:rPr>
          <w:sz w:val="20"/>
          <w:szCs w:val="20"/>
        </w:rPr>
      </w:pPr>
      <w:r>
        <w:rPr>
          <w:sz w:val="20"/>
          <w:szCs w:val="20"/>
        </w:rPr>
        <w:t>Title to the manufactured home may be transferred by Bill of Sale or Certificate of Title, as the case may require.</w:t>
      </w:r>
    </w:p>
    <w:p w14:paraId="14C6C78F" w14:textId="77777777" w:rsidR="009F55CE" w:rsidRDefault="00000000">
      <w:pPr>
        <w:pStyle w:val="StandardA"/>
        <w:spacing w:after="144"/>
        <w:jc w:val="both"/>
        <w:rPr>
          <w:sz w:val="20"/>
          <w:szCs w:val="20"/>
        </w:rPr>
      </w:pPr>
      <w:r>
        <w:rPr>
          <w:sz w:val="20"/>
          <w:szCs w:val="20"/>
        </w:rPr>
        <w:t>The right is reserved to postpone or adjourn the sale to another specified time certain or to another date, time, and location certain, without further newspaper publication upon announcement by posting with the third-party internet posting company and announced on the date, time, and location of sale set forth above or any subsequent postponed or adjourned date, time, and location of sale; provided, however if the sale is postponed or adjourned for less than five (5) days after the original sale, announcement by internet posting is not required.</w:t>
      </w:r>
    </w:p>
    <w:p w14:paraId="28E2847B" w14:textId="77777777" w:rsidR="009F55CE" w:rsidRDefault="00000000">
      <w:pPr>
        <w:pStyle w:val="StandardA"/>
        <w:spacing w:after="144"/>
        <w:jc w:val="both"/>
        <w:rPr>
          <w:sz w:val="20"/>
          <w:szCs w:val="20"/>
        </w:rPr>
      </w:pPr>
      <w:r>
        <w:rPr>
          <w:sz w:val="20"/>
          <w:szCs w:val="20"/>
        </w:rPr>
        <w:t xml:space="preserve">If you purchase a property at the foreclosure sale, the entire purchase price is due and payable at the conclusion of the auction in the form of a certified check made payable to or endorsed to Padgett Law Group.  No personal checks will be accepted. To this end, you must bring sufficient funds to outbid the lender and any other bidders.  Insufficient funds will not be accepted. Amounts received </w:t>
      </w:r>
      <w:proofErr w:type="gramStart"/>
      <w:r>
        <w:rPr>
          <w:sz w:val="20"/>
          <w:szCs w:val="20"/>
        </w:rPr>
        <w:t>in excess of</w:t>
      </w:r>
      <w:proofErr w:type="gramEnd"/>
      <w:r>
        <w:rPr>
          <w:sz w:val="20"/>
          <w:szCs w:val="20"/>
        </w:rPr>
        <w:t xml:space="preserve"> the winning bid will be refunded to the successful purchaser at the time the foreclosure deed is delivered.</w:t>
      </w:r>
    </w:p>
    <w:p w14:paraId="150119C2" w14:textId="77777777" w:rsidR="009F55CE" w:rsidRDefault="00000000">
      <w:pPr>
        <w:pStyle w:val="StandardA"/>
        <w:spacing w:after="144"/>
        <w:jc w:val="both"/>
        <w:rPr>
          <w:sz w:val="20"/>
          <w:szCs w:val="20"/>
        </w:rPr>
      </w:pPr>
      <w:r>
        <w:rPr>
          <w:sz w:val="20"/>
          <w:szCs w:val="20"/>
        </w:rPr>
        <w:t>This property is being sold with the express reservation that the sale is subject to confirmation by the lender or trustee.  This sale may be rescinded by the Substitute Trustee at any time.</w:t>
      </w:r>
    </w:p>
    <w:p w14:paraId="6645EE5B" w14:textId="77777777" w:rsidR="009F55CE" w:rsidRPr="000B117C" w:rsidRDefault="00000000">
      <w:pPr>
        <w:pStyle w:val="StandardA"/>
        <w:spacing w:after="144"/>
        <w:jc w:val="both"/>
        <w:rPr>
          <w:b/>
          <w:bCs/>
          <w:sz w:val="20"/>
          <w:szCs w:val="20"/>
        </w:rPr>
      </w:pPr>
      <w:r w:rsidRPr="000B117C">
        <w:rPr>
          <w:b/>
          <w:bCs/>
          <w:sz w:val="20"/>
          <w:szCs w:val="20"/>
        </w:rPr>
        <w:t>This Notice of Sale has been posted by Capital City Posting and can be viewed online at CapitalCityPostings.com.</w:t>
      </w:r>
    </w:p>
    <w:p w14:paraId="23D612D2" w14:textId="77777777" w:rsidR="009F55CE" w:rsidRDefault="009F55CE">
      <w:pPr>
        <w:pStyle w:val="StandardA"/>
        <w:ind w:left="-15"/>
        <w:rPr>
          <w:sz w:val="20"/>
          <w:szCs w:val="20"/>
          <w:u w:val="single"/>
        </w:rPr>
      </w:pPr>
    </w:p>
    <w:p w14:paraId="669CBC22" w14:textId="77777777" w:rsidR="009F55CE" w:rsidRDefault="00000000">
      <w:pPr>
        <w:pStyle w:val="StandardA"/>
        <w:ind w:left="-15"/>
        <w:rPr>
          <w:sz w:val="20"/>
          <w:szCs w:val="20"/>
        </w:rPr>
      </w:pPr>
      <w:r>
        <w:rPr>
          <w:sz w:val="20"/>
          <w:szCs w:val="20"/>
        </w:rPr>
        <w:t>Padgett Law Group, Substitute Trustee</w:t>
      </w:r>
    </w:p>
    <w:p w14:paraId="25EA46E2" w14:textId="77777777" w:rsidR="009F55CE" w:rsidRDefault="00000000">
      <w:pPr>
        <w:pStyle w:val="StandardA"/>
        <w:ind w:left="-15"/>
        <w:rPr>
          <w:sz w:val="20"/>
          <w:szCs w:val="20"/>
        </w:rPr>
      </w:pPr>
      <w:r>
        <w:rPr>
          <w:sz w:val="20"/>
          <w:szCs w:val="20"/>
        </w:rPr>
        <w:t>6267 Old Water Oak Road, Suite 203</w:t>
      </w:r>
    </w:p>
    <w:p w14:paraId="27AE2079" w14:textId="77777777" w:rsidR="009F55CE" w:rsidRDefault="00000000">
      <w:pPr>
        <w:pStyle w:val="StandardA"/>
        <w:ind w:left="-15"/>
        <w:rPr>
          <w:sz w:val="20"/>
          <w:szCs w:val="20"/>
        </w:rPr>
      </w:pPr>
      <w:r>
        <w:rPr>
          <w:sz w:val="20"/>
          <w:szCs w:val="20"/>
        </w:rPr>
        <w:t>Tallahassee, FL 32312</w:t>
      </w:r>
    </w:p>
    <w:p w14:paraId="5E2089A9" w14:textId="77777777" w:rsidR="009F55CE" w:rsidRDefault="00000000">
      <w:pPr>
        <w:pStyle w:val="StandardA"/>
        <w:ind w:left="-15"/>
        <w:rPr>
          <w:sz w:val="20"/>
          <w:szCs w:val="20"/>
        </w:rPr>
      </w:pPr>
      <w:r>
        <w:rPr>
          <w:sz w:val="20"/>
          <w:szCs w:val="20"/>
        </w:rPr>
        <w:t>(850) 422-2520 (telephone)</w:t>
      </w:r>
    </w:p>
    <w:p w14:paraId="214E1215" w14:textId="77777777" w:rsidR="009F55CE" w:rsidRDefault="00000000">
      <w:pPr>
        <w:pStyle w:val="StandardA"/>
        <w:ind w:left="-15"/>
        <w:rPr>
          <w:sz w:val="20"/>
          <w:szCs w:val="20"/>
        </w:rPr>
      </w:pPr>
      <w:r>
        <w:rPr>
          <w:sz w:val="20"/>
          <w:szCs w:val="20"/>
        </w:rPr>
        <w:t>(850) 422-2567 (facsimile)</w:t>
      </w:r>
    </w:p>
    <w:p w14:paraId="4B186281" w14:textId="77777777" w:rsidR="009F55CE" w:rsidRDefault="00000000">
      <w:pPr>
        <w:pStyle w:val="StandardA"/>
        <w:ind w:left="-15"/>
        <w:rPr>
          <w:sz w:val="20"/>
          <w:szCs w:val="20"/>
        </w:rPr>
      </w:pPr>
      <w:r>
        <w:rPr>
          <w:sz w:val="20"/>
          <w:szCs w:val="20"/>
        </w:rPr>
        <w:t>attorney@padgettlawgroup.com</w:t>
      </w:r>
    </w:p>
    <w:p w14:paraId="0187D585" w14:textId="77777777" w:rsidR="009F55CE" w:rsidRDefault="009F55CE">
      <w:pPr>
        <w:pStyle w:val="StandardA"/>
        <w:ind w:left="-15"/>
        <w:rPr>
          <w:sz w:val="20"/>
          <w:szCs w:val="20"/>
        </w:rPr>
      </w:pPr>
    </w:p>
    <w:sectPr w:rsidR="009F55CE">
      <w:footerReference w:type="default" r:id="rId6"/>
      <w:pgSz w:w="12240" w:h="15840"/>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4DE2" w14:textId="77777777" w:rsidR="00460F59" w:rsidRDefault="00460F59">
      <w:r>
        <w:separator/>
      </w:r>
    </w:p>
  </w:endnote>
  <w:endnote w:type="continuationSeparator" w:id="0">
    <w:p w14:paraId="3F9FE033" w14:textId="77777777" w:rsidR="00460F59" w:rsidRDefault="0046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8C3B" w14:textId="77777777" w:rsidR="009F55CE" w:rsidRDefault="009F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6106" w14:textId="77777777" w:rsidR="00460F59" w:rsidRDefault="00460F59">
      <w:r>
        <w:separator/>
      </w:r>
    </w:p>
  </w:footnote>
  <w:footnote w:type="continuationSeparator" w:id="0">
    <w:p w14:paraId="29C0CFC3" w14:textId="77777777" w:rsidR="00460F59" w:rsidRDefault="00460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CE"/>
    <w:rsid w:val="000B117C"/>
    <w:rsid w:val="00460F59"/>
    <w:rsid w:val="00467F7D"/>
    <w:rsid w:val="00475FEE"/>
    <w:rsid w:val="006801E9"/>
    <w:rsid w:val="008C1A43"/>
    <w:rsid w:val="009F55CE"/>
    <w:rsid w:val="00A0347A"/>
    <w:rsid w:val="00A75866"/>
    <w:rsid w:val="00AF0EAA"/>
    <w:rsid w:val="00B1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C53C"/>
  <w15:docId w15:val="{AC930F2E-1C2A-4124-86B6-8976BA9C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A">
    <w:name w:val="Footnote SymbolA"/>
    <w:qFormat/>
  </w:style>
  <w:style w:type="character" w:customStyle="1" w:styleId="EndnoteSymbolA">
    <w:name w:val="Endnote SymbolA"/>
    <w:qFormat/>
  </w:style>
  <w:style w:type="character" w:customStyle="1" w:styleId="NumberingSymbolsA">
    <w:name w:val="Numbering SymbolsA"/>
    <w:qFormat/>
  </w:style>
  <w:style w:type="character" w:customStyle="1" w:styleId="NumberingSymbolsB">
    <w:name w:val="Numbering SymbolsB"/>
    <w:qFormat/>
  </w:style>
  <w:style w:type="character" w:customStyle="1" w:styleId="FootnoteSymbolB">
    <w:name w:val="Footnote SymbolB"/>
    <w:qFormat/>
  </w:style>
  <w:style w:type="character" w:customStyle="1" w:styleId="EndnoteSymbolB">
    <w:name w:val="Endnote SymbolB"/>
    <w:qFormat/>
  </w:style>
  <w:style w:type="character" w:customStyle="1" w:styleId="BulletSymbolsB">
    <w:name w:val="Bullet SymbolsB"/>
    <w:qFormat/>
    <w:rPr>
      <w:rFonts w:ascii="OpenSymbol" w:eastAsia="OpenSymbol" w:hAnsi="OpenSymbol" w:cs="OpenSymbol"/>
    </w:rPr>
  </w:style>
  <w:style w:type="character" w:customStyle="1" w:styleId="FootnoteSymbolC">
    <w:name w:val="Footnote SymbolC"/>
    <w:qFormat/>
  </w:style>
  <w:style w:type="character" w:customStyle="1" w:styleId="EndnoteSymbolC">
    <w:name w:val="Endnote SymbolC"/>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StandardA">
    <w:name w:val="StandardA"/>
    <w:qFormat/>
    <w:pPr>
      <w:widowControl w:val="0"/>
    </w:pPr>
  </w:style>
  <w:style w:type="paragraph" w:customStyle="1" w:styleId="HeadingA">
    <w:name w:val="HeadingA"/>
    <w:basedOn w:val="StandardA"/>
    <w:next w:val="TextbodyA"/>
    <w:qFormat/>
    <w:pPr>
      <w:keepNext/>
      <w:spacing w:before="240" w:after="120"/>
    </w:pPr>
    <w:rPr>
      <w:rFonts w:ascii="Arial" w:eastAsia="MS Mincho" w:hAnsi="Arial" w:cs="Tahoma"/>
      <w:sz w:val="28"/>
      <w:szCs w:val="28"/>
    </w:rPr>
  </w:style>
  <w:style w:type="paragraph" w:customStyle="1" w:styleId="TextbodyA">
    <w:name w:val="Text bodyA"/>
    <w:basedOn w:val="StandardA"/>
    <w:qFormat/>
    <w:pPr>
      <w:spacing w:after="120"/>
    </w:pPr>
  </w:style>
  <w:style w:type="paragraph" w:customStyle="1" w:styleId="ListA">
    <w:name w:val="ListA"/>
    <w:basedOn w:val="TextbodyA"/>
    <w:qFormat/>
    <w:rPr>
      <w:rFonts w:ascii="Arial" w:hAnsi="Arial" w:cs="Tahoma"/>
    </w:rPr>
  </w:style>
  <w:style w:type="paragraph" w:customStyle="1" w:styleId="CaptionA">
    <w:name w:val="CaptionA"/>
    <w:basedOn w:val="StandardA"/>
    <w:qFormat/>
    <w:pPr>
      <w:suppressLineNumbers/>
      <w:spacing w:before="120" w:after="120"/>
    </w:pPr>
    <w:rPr>
      <w:rFonts w:ascii="Arial" w:hAnsi="Arial" w:cs="Tahoma"/>
      <w:i/>
      <w:iCs/>
    </w:rPr>
  </w:style>
  <w:style w:type="paragraph" w:customStyle="1" w:styleId="IndexA">
    <w:name w:val="IndexA"/>
    <w:basedOn w:val="StandardA"/>
    <w:qFormat/>
    <w:pPr>
      <w:suppressLineNumbers/>
    </w:pPr>
    <w:rPr>
      <w:rFonts w:ascii="Arial" w:hAnsi="Arial" w:cs="Tahoma"/>
    </w:rPr>
  </w:style>
  <w:style w:type="paragraph" w:customStyle="1" w:styleId="TableContentsA">
    <w:name w:val="Table ContentsA"/>
    <w:basedOn w:val="StandardA"/>
    <w:qFormat/>
    <w:pPr>
      <w:suppressLineNumbers/>
    </w:pPr>
  </w:style>
  <w:style w:type="paragraph" w:customStyle="1" w:styleId="TableHeadingA">
    <w:name w:val="Table HeadingA"/>
    <w:basedOn w:val="TableContentsA"/>
    <w:qFormat/>
    <w:pPr>
      <w:jc w:val="center"/>
    </w:pPr>
    <w:rPr>
      <w:b/>
      <w:bCs/>
    </w:rPr>
  </w:style>
  <w:style w:type="paragraph" w:customStyle="1" w:styleId="FooterA">
    <w:name w:val="FooterA"/>
    <w:basedOn w:val="StandardA"/>
    <w:qFormat/>
    <w:pPr>
      <w:suppressLineNumbers/>
      <w:tabs>
        <w:tab w:val="center" w:pos="4680"/>
        <w:tab w:val="right" w:pos="9360"/>
      </w:tabs>
    </w:pPr>
  </w:style>
  <w:style w:type="paragraph" w:customStyle="1" w:styleId="StandardB">
    <w:name w:val="StandardB"/>
    <w:qFormat/>
    <w:pPr>
      <w:widowControl w:val="0"/>
    </w:pPr>
  </w:style>
  <w:style w:type="paragraph" w:customStyle="1" w:styleId="HeadingB">
    <w:name w:val="HeadingB"/>
    <w:basedOn w:val="StandardB"/>
    <w:next w:val="TextbodyB"/>
    <w:qFormat/>
    <w:pPr>
      <w:keepNext/>
      <w:spacing w:before="240" w:after="120"/>
    </w:pPr>
    <w:rPr>
      <w:rFonts w:ascii="Arial" w:eastAsia="Microsoft YaHei" w:hAnsi="Arial" w:cs="Arial"/>
      <w:sz w:val="28"/>
      <w:szCs w:val="28"/>
    </w:rPr>
  </w:style>
  <w:style w:type="paragraph" w:customStyle="1" w:styleId="TextbodyB">
    <w:name w:val="Text bodyB"/>
    <w:basedOn w:val="StandardB"/>
    <w:qFormat/>
    <w:pPr>
      <w:spacing w:after="120"/>
    </w:pPr>
  </w:style>
  <w:style w:type="paragraph" w:customStyle="1" w:styleId="ListB">
    <w:name w:val="ListB"/>
    <w:basedOn w:val="TextbodyB"/>
    <w:qFormat/>
    <w:rPr>
      <w:rFonts w:cs="Arial"/>
    </w:rPr>
  </w:style>
  <w:style w:type="paragraph" w:customStyle="1" w:styleId="CaptionB">
    <w:name w:val="CaptionB"/>
    <w:basedOn w:val="StandardB"/>
    <w:qFormat/>
    <w:pPr>
      <w:suppressLineNumbers/>
      <w:spacing w:before="120" w:after="120"/>
    </w:pPr>
    <w:rPr>
      <w:rFonts w:cs="Arial"/>
      <w:i/>
      <w:iCs/>
    </w:rPr>
  </w:style>
  <w:style w:type="paragraph" w:customStyle="1" w:styleId="IndexB">
    <w:name w:val="IndexB"/>
    <w:basedOn w:val="StandardB"/>
    <w:qFormat/>
    <w:pPr>
      <w:suppressLineNumbers/>
    </w:pPr>
    <w:rPr>
      <w:rFonts w:cs="Arial"/>
    </w:rPr>
  </w:style>
  <w:style w:type="paragraph" w:customStyle="1" w:styleId="TableContentsB">
    <w:name w:val="Table ContentsB"/>
    <w:basedOn w:val="StandardB"/>
    <w:qFormat/>
    <w:pPr>
      <w:suppressLineNumbers/>
    </w:pPr>
  </w:style>
  <w:style w:type="paragraph" w:customStyle="1" w:styleId="TableHeadingB">
    <w:name w:val="Table HeadingB"/>
    <w:basedOn w:val="TableContentsB"/>
    <w:qFormat/>
    <w:pPr>
      <w:jc w:val="center"/>
    </w:pPr>
    <w:rPr>
      <w:b/>
      <w:bCs/>
    </w:rPr>
  </w:style>
  <w:style w:type="paragraph" w:customStyle="1" w:styleId="StandardC">
    <w:name w:val="StandardC"/>
    <w:qFormat/>
    <w:pPr>
      <w:widowControl w:val="0"/>
    </w:pPr>
  </w:style>
  <w:style w:type="paragraph" w:customStyle="1" w:styleId="HeadingC">
    <w:name w:val="HeadingC"/>
    <w:basedOn w:val="StandardC"/>
    <w:next w:val="TextbodyC"/>
    <w:qFormat/>
    <w:pPr>
      <w:keepNext/>
      <w:spacing w:before="240" w:after="120"/>
    </w:pPr>
    <w:rPr>
      <w:rFonts w:ascii="Arial" w:eastAsia="Microsoft YaHei" w:hAnsi="Arial"/>
      <w:sz w:val="28"/>
      <w:szCs w:val="28"/>
    </w:rPr>
  </w:style>
  <w:style w:type="paragraph" w:customStyle="1" w:styleId="TextbodyC">
    <w:name w:val="Text bodyC"/>
    <w:basedOn w:val="StandardC"/>
    <w:qFormat/>
    <w:pPr>
      <w:spacing w:after="120"/>
    </w:pPr>
  </w:style>
  <w:style w:type="paragraph" w:customStyle="1" w:styleId="ListC">
    <w:name w:val="ListC"/>
    <w:basedOn w:val="TextbodyC"/>
    <w:qFormat/>
  </w:style>
  <w:style w:type="paragraph" w:customStyle="1" w:styleId="CaptionC">
    <w:name w:val="CaptionC"/>
    <w:basedOn w:val="StandardC"/>
    <w:qFormat/>
    <w:pPr>
      <w:suppressLineNumbers/>
      <w:spacing w:before="120" w:after="120"/>
    </w:pPr>
    <w:rPr>
      <w:i/>
      <w:iCs/>
    </w:rPr>
  </w:style>
  <w:style w:type="paragraph" w:customStyle="1" w:styleId="IndexC">
    <w:name w:val="IndexC"/>
    <w:basedOn w:val="StandardC"/>
    <w:qFormat/>
    <w:pPr>
      <w:suppressLineNumbers/>
    </w:pPr>
  </w:style>
  <w:style w:type="paragraph" w:customStyle="1" w:styleId="TableContentsC">
    <w:name w:val="Table ContentsC"/>
    <w:basedOn w:val="StandardC"/>
    <w:qFormat/>
    <w:pPr>
      <w:suppressLineNumbers/>
    </w:pPr>
  </w:style>
  <w:style w:type="paragraph" w:customStyle="1" w:styleId="TableHeadingC">
    <w:name w:val="Table HeadingC"/>
    <w:basedOn w:val="TableContentsC"/>
    <w:qFormat/>
    <w:pPr>
      <w:jc w:val="center"/>
    </w:pPr>
    <w:rPr>
      <w:b/>
      <w:bCs/>
    </w:rPr>
  </w:style>
  <w:style w:type="paragraph" w:customStyle="1" w:styleId="HeaderandFooter">
    <w:name w:val="Header and Footer"/>
    <w:basedOn w:val="Normal"/>
    <w:qFormat/>
    <w:pPr>
      <w:suppressLineNumbers/>
      <w:tabs>
        <w:tab w:val="center" w:pos="5553"/>
        <w:tab w:val="right" w:pos="11106"/>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 Margin</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Margin</dc:title>
  <dc:subject/>
  <dc:creator>Wendi Fiser</dc:creator>
  <dc:description/>
  <cp:lastModifiedBy>Renee Kammer</cp:lastModifiedBy>
  <cp:revision>2</cp:revision>
  <cp:lastPrinted>2014-09-08T13:34:00Z</cp:lastPrinted>
  <dcterms:created xsi:type="dcterms:W3CDTF">2025-11-21T18:23:00Z</dcterms:created>
  <dcterms:modified xsi:type="dcterms:W3CDTF">2025-11-21T18:23:00Z</dcterms:modified>
  <dc:language>en-US</dc:language>
</cp:coreProperties>
</file>